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82"/>
        <w:gridCol w:w="2107"/>
        <w:gridCol w:w="7047"/>
      </w:tblGrid>
      <w:tr w:rsidR="006D637B" w:rsidRPr="006D637B" w:rsidTr="006D637B">
        <w:trPr>
          <w:trHeight w:val="2805"/>
        </w:trPr>
        <w:tc>
          <w:tcPr>
            <w:tcW w:w="582" w:type="dxa"/>
            <w:vMerge w:val="restart"/>
            <w:noWrap/>
            <w:textDirection w:val="tbRlV"/>
            <w:hideMark/>
          </w:tcPr>
          <w:p w:rsidR="006D637B" w:rsidRPr="006D637B" w:rsidRDefault="006D637B" w:rsidP="006D637B">
            <w:pPr>
              <w:ind w:left="113" w:right="113"/>
              <w:rPr>
                <w:sz w:val="18"/>
                <w:szCs w:val="18"/>
              </w:rPr>
            </w:pPr>
            <w:r w:rsidRPr="006D637B">
              <w:rPr>
                <w:rFonts w:hint="eastAsia"/>
                <w:sz w:val="18"/>
                <w:szCs w:val="18"/>
              </w:rPr>
              <w:t>選択・範囲・程度</w:t>
            </w:r>
          </w:p>
        </w:tc>
        <w:tc>
          <w:tcPr>
            <w:tcW w:w="2107" w:type="dxa"/>
            <w:noWrap/>
            <w:hideMark/>
          </w:tcPr>
          <w:p w:rsidR="006D637B" w:rsidRPr="006D637B" w:rsidRDefault="006D637B">
            <w:pPr>
              <w:rPr>
                <w:rFonts w:hint="eastAsia"/>
                <w:sz w:val="18"/>
                <w:szCs w:val="18"/>
              </w:rPr>
            </w:pPr>
            <w:r w:rsidRPr="006D637B">
              <w:rPr>
                <w:rFonts w:hint="eastAsia"/>
                <w:sz w:val="18"/>
                <w:szCs w:val="18"/>
              </w:rPr>
              <w:t>学習指導要領との対応</w:t>
            </w:r>
          </w:p>
        </w:tc>
        <w:tc>
          <w:tcPr>
            <w:tcW w:w="7047" w:type="dxa"/>
            <w:hideMark/>
          </w:tcPr>
          <w:p w:rsidR="006D637B" w:rsidRPr="006D637B" w:rsidRDefault="006D637B">
            <w:pPr>
              <w:rPr>
                <w:rFonts w:hint="eastAsia"/>
                <w:sz w:val="18"/>
                <w:szCs w:val="18"/>
              </w:rPr>
            </w:pPr>
            <w:r w:rsidRPr="006D637B">
              <w:rPr>
                <w:rFonts w:hint="eastAsia"/>
                <w:sz w:val="18"/>
                <w:szCs w:val="18"/>
              </w:rPr>
              <w:t>・学習指導要領の示す目標，内容に対応し適切な教材を用意している。</w:t>
            </w:r>
            <w:r w:rsidRPr="006D637B">
              <w:rPr>
                <w:rFonts w:hint="eastAsia"/>
                <w:sz w:val="18"/>
                <w:szCs w:val="18"/>
              </w:rPr>
              <w:br/>
            </w:r>
            <w:r w:rsidRPr="006D637B">
              <w:rPr>
                <w:rFonts w:hint="eastAsia"/>
                <w:sz w:val="18"/>
                <w:szCs w:val="18"/>
              </w:rPr>
              <w:t>・「音楽を形づくっている要素」であるリズム，メロディー，ハーモニー，言葉を主軸にした教材（「</w:t>
            </w:r>
            <w:r w:rsidRPr="006D637B">
              <w:rPr>
                <w:rFonts w:hint="eastAsia"/>
                <w:sz w:val="18"/>
                <w:szCs w:val="18"/>
              </w:rPr>
              <w:t>ONGAKU</w:t>
            </w:r>
            <w:r w:rsidRPr="006D637B">
              <w:rPr>
                <w:rFonts w:hint="eastAsia"/>
                <w:sz w:val="18"/>
                <w:szCs w:val="18"/>
              </w:rPr>
              <w:t>をはじめよう」）を用意している。</w:t>
            </w:r>
            <w:r w:rsidRPr="006D637B">
              <w:rPr>
                <w:rFonts w:hint="eastAsia"/>
                <w:sz w:val="18"/>
                <w:szCs w:val="18"/>
              </w:rPr>
              <w:br/>
            </w:r>
            <w:r w:rsidRPr="006D637B">
              <w:rPr>
                <w:rFonts w:hint="eastAsia"/>
                <w:sz w:val="18"/>
                <w:szCs w:val="18"/>
              </w:rPr>
              <w:t>・歌唱，器楽領域は，学習指導要領の示す目標，内容に対応した教材を十分に用意している。</w:t>
            </w:r>
            <w:r w:rsidRPr="006D637B">
              <w:rPr>
                <w:rFonts w:hint="eastAsia"/>
                <w:sz w:val="18"/>
                <w:szCs w:val="18"/>
              </w:rPr>
              <w:br/>
            </w:r>
            <w:r w:rsidRPr="006D637B">
              <w:rPr>
                <w:rFonts w:hint="eastAsia"/>
                <w:sz w:val="18"/>
                <w:szCs w:val="18"/>
              </w:rPr>
              <w:t>・創作領域は，音楽を形づくっている各要素を個別に取り上げ，それらを知覚，感受する学習がしやすいよう工夫している。</w:t>
            </w:r>
            <w:r w:rsidRPr="006D637B">
              <w:rPr>
                <w:rFonts w:hint="eastAsia"/>
                <w:sz w:val="18"/>
                <w:szCs w:val="18"/>
              </w:rPr>
              <w:br/>
            </w:r>
            <w:r w:rsidRPr="006D637B">
              <w:rPr>
                <w:rFonts w:hint="eastAsia"/>
                <w:sz w:val="18"/>
                <w:szCs w:val="18"/>
              </w:rPr>
              <w:t>・鑑賞領域は，中学での学習からの継続・発展を意識した内容になっている。</w:t>
            </w:r>
            <w:r w:rsidRPr="006D637B">
              <w:rPr>
                <w:rFonts w:hint="eastAsia"/>
                <w:sz w:val="18"/>
                <w:szCs w:val="18"/>
              </w:rPr>
              <w:br/>
            </w:r>
            <w:r w:rsidRPr="006D637B">
              <w:rPr>
                <w:rFonts w:hint="eastAsia"/>
                <w:sz w:val="18"/>
                <w:szCs w:val="18"/>
              </w:rPr>
              <w:t>・批評する活動をする際のポイントを解説した項目を用意している（「音楽を聴いて感じたことを自分の言葉で書いてみよう」）。</w:t>
            </w:r>
            <w:r w:rsidRPr="006D637B">
              <w:rPr>
                <w:rFonts w:hint="eastAsia"/>
                <w:sz w:val="18"/>
                <w:szCs w:val="18"/>
              </w:rPr>
              <w:br/>
            </w:r>
            <w:r w:rsidRPr="006D637B">
              <w:rPr>
                <w:rFonts w:hint="eastAsia"/>
                <w:sz w:val="18"/>
                <w:szCs w:val="18"/>
              </w:rPr>
              <w:t>・音楽の著作物などを尊重するためにどのような注意が必要かなど，著作権について学習できる項目を用意している。</w:t>
            </w:r>
          </w:p>
        </w:tc>
      </w:tr>
      <w:tr w:rsidR="006D637B" w:rsidRPr="006D637B" w:rsidTr="006D637B">
        <w:trPr>
          <w:trHeight w:val="1275"/>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基礎的，基本的な内容の取扱い</w:t>
            </w:r>
          </w:p>
        </w:tc>
        <w:tc>
          <w:tcPr>
            <w:tcW w:w="7047" w:type="dxa"/>
            <w:hideMark/>
          </w:tcPr>
          <w:p w:rsidR="006D637B" w:rsidRPr="006D637B" w:rsidRDefault="006D637B">
            <w:pPr>
              <w:rPr>
                <w:rFonts w:hint="eastAsia"/>
                <w:sz w:val="18"/>
                <w:szCs w:val="18"/>
              </w:rPr>
            </w:pPr>
            <w:r w:rsidRPr="006D637B">
              <w:rPr>
                <w:rFonts w:hint="eastAsia"/>
                <w:sz w:val="18"/>
                <w:szCs w:val="18"/>
              </w:rPr>
              <w:t>・音楽の基礎となる要素を理解できる教材，楽譜の読み書きについて解説した教材（「</w:t>
            </w:r>
            <w:r w:rsidRPr="006D637B">
              <w:rPr>
                <w:rFonts w:hint="eastAsia"/>
                <w:sz w:val="18"/>
                <w:szCs w:val="18"/>
              </w:rPr>
              <w:t>ONGAKU</w:t>
            </w:r>
            <w:r w:rsidRPr="006D637B">
              <w:rPr>
                <w:rFonts w:hint="eastAsia"/>
                <w:sz w:val="18"/>
                <w:szCs w:val="18"/>
              </w:rPr>
              <w:t>をはじめよう」）を用意している。</w:t>
            </w:r>
            <w:r w:rsidRPr="006D637B">
              <w:rPr>
                <w:rFonts w:hint="eastAsia"/>
                <w:sz w:val="18"/>
                <w:szCs w:val="18"/>
              </w:rPr>
              <w:br/>
            </w:r>
            <w:r w:rsidRPr="006D637B">
              <w:rPr>
                <w:rFonts w:hint="eastAsia"/>
                <w:sz w:val="18"/>
                <w:szCs w:val="18"/>
              </w:rPr>
              <w:t>・「からたちの花」「</w:t>
            </w:r>
            <w:proofErr w:type="spellStart"/>
            <w:r w:rsidRPr="006D637B">
              <w:rPr>
                <w:rFonts w:hint="eastAsia"/>
                <w:sz w:val="18"/>
                <w:szCs w:val="18"/>
              </w:rPr>
              <w:t>caro</w:t>
            </w:r>
            <w:proofErr w:type="spellEnd"/>
            <w:r w:rsidRPr="006D637B">
              <w:rPr>
                <w:rFonts w:hint="eastAsia"/>
                <w:sz w:val="18"/>
                <w:szCs w:val="18"/>
              </w:rPr>
              <w:t xml:space="preserve"> </w:t>
            </w:r>
            <w:proofErr w:type="spellStart"/>
            <w:r w:rsidRPr="006D637B">
              <w:rPr>
                <w:rFonts w:hint="eastAsia"/>
                <w:sz w:val="18"/>
                <w:szCs w:val="18"/>
              </w:rPr>
              <w:t>mio</w:t>
            </w:r>
            <w:proofErr w:type="spellEnd"/>
            <w:r w:rsidRPr="006D637B">
              <w:rPr>
                <w:rFonts w:hint="eastAsia"/>
                <w:sz w:val="18"/>
                <w:szCs w:val="18"/>
              </w:rPr>
              <w:t xml:space="preserve"> ben</w:t>
            </w:r>
            <w:r w:rsidRPr="006D637B">
              <w:rPr>
                <w:rFonts w:hint="eastAsia"/>
                <w:sz w:val="18"/>
                <w:szCs w:val="18"/>
              </w:rPr>
              <w:t>」「野</w:t>
            </w:r>
            <w:proofErr w:type="gramStart"/>
            <w:r w:rsidRPr="006D637B">
              <w:rPr>
                <w:rFonts w:hint="eastAsia"/>
                <w:sz w:val="18"/>
                <w:szCs w:val="18"/>
              </w:rPr>
              <w:t>ばら</w:t>
            </w:r>
            <w:proofErr w:type="gramEnd"/>
            <w:r w:rsidRPr="006D637B">
              <w:rPr>
                <w:rFonts w:hint="eastAsia"/>
                <w:sz w:val="18"/>
                <w:szCs w:val="18"/>
              </w:rPr>
              <w:t>」など，基礎的な楽曲教材を用意している。</w:t>
            </w:r>
            <w:r w:rsidRPr="006D637B">
              <w:rPr>
                <w:rFonts w:hint="eastAsia"/>
                <w:sz w:val="18"/>
                <w:szCs w:val="18"/>
              </w:rPr>
              <w:br/>
            </w:r>
            <w:r w:rsidRPr="006D637B">
              <w:rPr>
                <w:rFonts w:hint="eastAsia"/>
                <w:sz w:val="18"/>
                <w:szCs w:val="18"/>
              </w:rPr>
              <w:t>・郷土の音楽，アジア地域，諸外国の音楽，作曲家年表など，音楽文化を理解するための基礎的な資料を豊富に用意している。</w:t>
            </w:r>
          </w:p>
        </w:tc>
      </w:tr>
      <w:tr w:rsidR="006D637B" w:rsidRPr="006D637B" w:rsidTr="006D637B">
        <w:trPr>
          <w:trHeight w:val="1020"/>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内容の公正さ</w:t>
            </w:r>
          </w:p>
        </w:tc>
        <w:tc>
          <w:tcPr>
            <w:tcW w:w="7047" w:type="dxa"/>
            <w:noWrap/>
            <w:hideMark/>
          </w:tcPr>
          <w:p w:rsidR="006D637B" w:rsidRPr="006D637B" w:rsidRDefault="006D637B">
            <w:pPr>
              <w:rPr>
                <w:rFonts w:hint="eastAsia"/>
                <w:sz w:val="18"/>
                <w:szCs w:val="18"/>
              </w:rPr>
            </w:pPr>
            <w:r w:rsidRPr="006D637B">
              <w:rPr>
                <w:rFonts w:hint="eastAsia"/>
                <w:sz w:val="18"/>
                <w:szCs w:val="18"/>
              </w:rPr>
              <w:t>・楽曲教材は，古今東西の音楽をバランスよく取り扱っている・歌唱，器楽，創作，鑑賞，日本の音楽，多様な音楽文化の理解など，バランスのとれた構成になるよう配慮している。</w:t>
            </w:r>
          </w:p>
        </w:tc>
      </w:tr>
      <w:tr w:rsidR="006D637B" w:rsidRPr="006D637B" w:rsidTr="006D637B">
        <w:trPr>
          <w:trHeight w:val="1275"/>
        </w:trPr>
        <w:tc>
          <w:tcPr>
            <w:tcW w:w="582" w:type="dxa"/>
            <w:vMerge w:val="restart"/>
            <w:noWrap/>
            <w:textDirection w:val="tbRlV"/>
            <w:hideMark/>
          </w:tcPr>
          <w:p w:rsidR="006D637B" w:rsidRPr="006D637B" w:rsidRDefault="006D637B" w:rsidP="006D637B">
            <w:pPr>
              <w:ind w:left="113" w:right="113"/>
              <w:rPr>
                <w:rFonts w:hint="eastAsia"/>
                <w:sz w:val="18"/>
                <w:szCs w:val="18"/>
              </w:rPr>
            </w:pPr>
            <w:r w:rsidRPr="006D637B">
              <w:rPr>
                <w:rFonts w:hint="eastAsia"/>
                <w:sz w:val="18"/>
                <w:szCs w:val="18"/>
              </w:rPr>
              <w:t>構成・配列</w:t>
            </w:r>
          </w:p>
        </w:tc>
        <w:tc>
          <w:tcPr>
            <w:tcW w:w="2107" w:type="dxa"/>
            <w:hideMark/>
          </w:tcPr>
          <w:p w:rsidR="006D637B" w:rsidRPr="006D637B" w:rsidRDefault="006D637B">
            <w:pPr>
              <w:rPr>
                <w:rFonts w:hint="eastAsia"/>
                <w:sz w:val="18"/>
                <w:szCs w:val="18"/>
              </w:rPr>
            </w:pPr>
            <w:r w:rsidRPr="006D637B">
              <w:rPr>
                <w:rFonts w:hint="eastAsia"/>
                <w:sz w:val="18"/>
                <w:szCs w:val="18"/>
              </w:rPr>
              <w:t>系統的，発展的構成</w:t>
            </w:r>
            <w:r w:rsidRPr="006D637B">
              <w:rPr>
                <w:rFonts w:hint="eastAsia"/>
                <w:sz w:val="18"/>
                <w:szCs w:val="18"/>
              </w:rPr>
              <w:br/>
            </w:r>
            <w:r w:rsidRPr="006D637B">
              <w:rPr>
                <w:rFonts w:hint="eastAsia"/>
                <w:sz w:val="18"/>
                <w:szCs w:val="18"/>
              </w:rPr>
              <w:t>相互の関連</w:t>
            </w:r>
          </w:p>
        </w:tc>
        <w:tc>
          <w:tcPr>
            <w:tcW w:w="7047" w:type="dxa"/>
            <w:hideMark/>
          </w:tcPr>
          <w:p w:rsidR="006D637B" w:rsidRPr="006D637B" w:rsidRDefault="006D637B">
            <w:pPr>
              <w:rPr>
                <w:rFonts w:hint="eastAsia"/>
                <w:sz w:val="18"/>
                <w:szCs w:val="18"/>
              </w:rPr>
            </w:pPr>
            <w:r w:rsidRPr="006D637B">
              <w:rPr>
                <w:rFonts w:hint="eastAsia"/>
                <w:sz w:val="18"/>
                <w:szCs w:val="18"/>
              </w:rPr>
              <w:t>・歌唱，器楽，鑑賞，創作と領域ごとにまとめた，シンプルでわかりやすい構成</w:t>
            </w:r>
            <w:r w:rsidRPr="006D637B">
              <w:rPr>
                <w:rFonts w:hint="eastAsia"/>
                <w:sz w:val="18"/>
                <w:szCs w:val="18"/>
              </w:rPr>
              <w:br/>
            </w:r>
            <w:r w:rsidRPr="006D637B">
              <w:rPr>
                <w:rFonts w:hint="eastAsia"/>
                <w:sz w:val="18"/>
                <w:szCs w:val="18"/>
              </w:rPr>
              <w:t>・関連性を持って楽曲教材が配列されている。</w:t>
            </w:r>
            <w:r w:rsidRPr="006D637B">
              <w:rPr>
                <w:rFonts w:hint="eastAsia"/>
                <w:sz w:val="18"/>
                <w:szCs w:val="18"/>
              </w:rPr>
              <w:br/>
            </w:r>
            <w:r w:rsidRPr="006D637B">
              <w:rPr>
                <w:rFonts w:hint="eastAsia"/>
                <w:sz w:val="18"/>
                <w:szCs w:val="18"/>
              </w:rPr>
              <w:t>・表現と鑑賞は相互に関連性を持たせている。</w:t>
            </w:r>
            <w:r w:rsidRPr="006D637B">
              <w:rPr>
                <w:rFonts w:hint="eastAsia"/>
                <w:sz w:val="18"/>
                <w:szCs w:val="18"/>
              </w:rPr>
              <w:br/>
            </w:r>
            <w:r w:rsidRPr="006D637B">
              <w:rPr>
                <w:rFonts w:hint="eastAsia"/>
                <w:sz w:val="18"/>
                <w:szCs w:val="18"/>
              </w:rPr>
              <w:t>・「</w:t>
            </w:r>
            <w:r w:rsidRPr="006D637B">
              <w:rPr>
                <w:rFonts w:hint="eastAsia"/>
                <w:sz w:val="18"/>
                <w:szCs w:val="18"/>
              </w:rPr>
              <w:t>ONGAKU</w:t>
            </w:r>
            <w:r w:rsidRPr="006D637B">
              <w:rPr>
                <w:rFonts w:hint="eastAsia"/>
                <w:sz w:val="18"/>
                <w:szCs w:val="18"/>
              </w:rPr>
              <w:t>をはじめよう」と各楽曲，創作の内容は相互に関連性を持たせている。</w:t>
            </w:r>
            <w:r w:rsidRPr="006D637B">
              <w:rPr>
                <w:rFonts w:hint="eastAsia"/>
                <w:sz w:val="18"/>
                <w:szCs w:val="18"/>
              </w:rPr>
              <w:br/>
            </w:r>
            <w:r w:rsidRPr="006D637B">
              <w:rPr>
                <w:rFonts w:hint="eastAsia"/>
                <w:sz w:val="18"/>
                <w:szCs w:val="18"/>
              </w:rPr>
              <w:t>・関連性を意識した学習がしやすいよう，音楽史と鑑賞教材を紙面の上下に配置している。</w:t>
            </w:r>
          </w:p>
        </w:tc>
      </w:tr>
      <w:tr w:rsidR="006D637B" w:rsidRPr="006D637B" w:rsidTr="006D637B">
        <w:trPr>
          <w:trHeight w:val="525"/>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説明文，注，資料と主たる記述の関連付け</w:t>
            </w:r>
          </w:p>
        </w:tc>
        <w:tc>
          <w:tcPr>
            <w:tcW w:w="7047" w:type="dxa"/>
            <w:noWrap/>
            <w:hideMark/>
          </w:tcPr>
          <w:p w:rsidR="006D637B" w:rsidRPr="006D637B" w:rsidRDefault="006D637B">
            <w:pPr>
              <w:rPr>
                <w:rFonts w:hint="eastAsia"/>
                <w:sz w:val="18"/>
                <w:szCs w:val="18"/>
              </w:rPr>
            </w:pPr>
            <w:r w:rsidRPr="006D637B">
              <w:rPr>
                <w:rFonts w:hint="eastAsia"/>
                <w:sz w:val="18"/>
                <w:szCs w:val="18"/>
              </w:rPr>
              <w:t>・楽曲に関連付けて「</w:t>
            </w:r>
            <w:r w:rsidRPr="006D637B">
              <w:rPr>
                <w:rFonts w:hint="eastAsia"/>
                <w:sz w:val="18"/>
                <w:szCs w:val="18"/>
              </w:rPr>
              <w:t>memo</w:t>
            </w:r>
            <w:r w:rsidRPr="006D637B">
              <w:rPr>
                <w:rFonts w:hint="eastAsia"/>
                <w:sz w:val="18"/>
                <w:szCs w:val="18"/>
              </w:rPr>
              <w:t>」「</w:t>
            </w:r>
            <w:r w:rsidRPr="006D637B">
              <w:rPr>
                <w:rFonts w:hint="eastAsia"/>
                <w:sz w:val="18"/>
                <w:szCs w:val="18"/>
              </w:rPr>
              <w:t>point</w:t>
            </w:r>
            <w:r w:rsidRPr="006D637B">
              <w:rPr>
                <w:rFonts w:hint="eastAsia"/>
                <w:sz w:val="18"/>
                <w:szCs w:val="18"/>
              </w:rPr>
              <w:t>」「</w:t>
            </w:r>
            <w:r w:rsidRPr="006D637B">
              <w:rPr>
                <w:rFonts w:hint="eastAsia"/>
                <w:sz w:val="18"/>
                <w:szCs w:val="18"/>
              </w:rPr>
              <w:t>try</w:t>
            </w:r>
            <w:r w:rsidRPr="006D637B">
              <w:rPr>
                <w:rFonts w:hint="eastAsia"/>
                <w:sz w:val="18"/>
                <w:szCs w:val="18"/>
              </w:rPr>
              <w:t>」に分けて解説文を配置し，楽曲について理解しやすいよう配慮している。</w:t>
            </w:r>
          </w:p>
        </w:tc>
      </w:tr>
      <w:tr w:rsidR="006D637B" w:rsidRPr="006D637B" w:rsidTr="006D637B">
        <w:trPr>
          <w:trHeight w:val="1020"/>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生徒が活動する際の配慮</w:t>
            </w:r>
          </w:p>
        </w:tc>
        <w:tc>
          <w:tcPr>
            <w:tcW w:w="7047" w:type="dxa"/>
            <w:hideMark/>
          </w:tcPr>
          <w:p w:rsidR="006D637B" w:rsidRPr="006D637B" w:rsidRDefault="006D637B">
            <w:pPr>
              <w:rPr>
                <w:rFonts w:hint="eastAsia"/>
                <w:sz w:val="18"/>
                <w:szCs w:val="18"/>
              </w:rPr>
            </w:pPr>
            <w:r w:rsidRPr="006D637B">
              <w:rPr>
                <w:rFonts w:hint="eastAsia"/>
                <w:sz w:val="18"/>
                <w:szCs w:val="18"/>
              </w:rPr>
              <w:t>・アクティブ・ラーニングに対応し，創造的に知識と実践を結びつける学習ができるよう，解説だけでなく実践のための短い譜例を配置するなど工夫している（「</w:t>
            </w:r>
            <w:r w:rsidRPr="006D637B">
              <w:rPr>
                <w:rFonts w:hint="eastAsia"/>
                <w:sz w:val="18"/>
                <w:szCs w:val="18"/>
              </w:rPr>
              <w:t>ONGAKU</w:t>
            </w:r>
            <w:r w:rsidRPr="006D637B">
              <w:rPr>
                <w:rFonts w:hint="eastAsia"/>
                <w:sz w:val="18"/>
                <w:szCs w:val="18"/>
              </w:rPr>
              <w:t>をはじめよう」など）。</w:t>
            </w:r>
            <w:r w:rsidRPr="006D637B">
              <w:rPr>
                <w:rFonts w:hint="eastAsia"/>
                <w:sz w:val="18"/>
                <w:szCs w:val="18"/>
              </w:rPr>
              <w:br/>
            </w:r>
            <w:r w:rsidRPr="006D637B">
              <w:rPr>
                <w:rFonts w:hint="eastAsia"/>
                <w:sz w:val="18"/>
                <w:szCs w:val="18"/>
              </w:rPr>
              <w:t>・創作は，易しく小さな課題に一つずつ取り組んでいき，大きな曲作りができるような構成にし，創作経験の少ない生徒に配慮している。</w:t>
            </w:r>
          </w:p>
        </w:tc>
      </w:tr>
      <w:tr w:rsidR="006D637B" w:rsidRPr="006D637B" w:rsidTr="006D637B">
        <w:trPr>
          <w:trHeight w:val="780"/>
        </w:trPr>
        <w:tc>
          <w:tcPr>
            <w:tcW w:w="582" w:type="dxa"/>
            <w:vMerge w:val="restart"/>
            <w:noWrap/>
            <w:textDirection w:val="tbRlV"/>
            <w:hideMark/>
          </w:tcPr>
          <w:p w:rsidR="006D637B" w:rsidRPr="006D637B" w:rsidRDefault="006D637B" w:rsidP="006D637B">
            <w:pPr>
              <w:ind w:left="113" w:right="113"/>
              <w:rPr>
                <w:rFonts w:hint="eastAsia"/>
                <w:sz w:val="18"/>
                <w:szCs w:val="18"/>
              </w:rPr>
            </w:pPr>
            <w:r w:rsidRPr="006D637B">
              <w:rPr>
                <w:rFonts w:hint="eastAsia"/>
                <w:sz w:val="18"/>
                <w:szCs w:val="18"/>
              </w:rPr>
              <w:t>表記・表現・体裁</w:t>
            </w:r>
          </w:p>
        </w:tc>
        <w:tc>
          <w:tcPr>
            <w:tcW w:w="2107" w:type="dxa"/>
            <w:noWrap/>
            <w:hideMark/>
          </w:tcPr>
          <w:p w:rsidR="006D637B" w:rsidRPr="006D637B" w:rsidRDefault="006D637B">
            <w:pPr>
              <w:rPr>
                <w:rFonts w:hint="eastAsia"/>
                <w:sz w:val="18"/>
                <w:szCs w:val="18"/>
              </w:rPr>
            </w:pPr>
            <w:r w:rsidRPr="006D637B">
              <w:rPr>
                <w:rFonts w:hint="eastAsia"/>
                <w:sz w:val="18"/>
                <w:szCs w:val="18"/>
              </w:rPr>
              <w:t>表記・表現の工夫・配慮</w:t>
            </w:r>
          </w:p>
        </w:tc>
        <w:tc>
          <w:tcPr>
            <w:tcW w:w="7047" w:type="dxa"/>
            <w:hideMark/>
          </w:tcPr>
          <w:p w:rsidR="006D637B" w:rsidRPr="006D637B" w:rsidRDefault="006D637B">
            <w:pPr>
              <w:rPr>
                <w:rFonts w:hint="eastAsia"/>
                <w:sz w:val="18"/>
                <w:szCs w:val="18"/>
              </w:rPr>
            </w:pPr>
            <w:r w:rsidRPr="006D637B">
              <w:rPr>
                <w:rFonts w:hint="eastAsia"/>
                <w:sz w:val="18"/>
                <w:szCs w:val="18"/>
              </w:rPr>
              <w:t>・譜読みがしやす</w:t>
            </w:r>
            <w:bookmarkStart w:id="0" w:name="_GoBack"/>
            <w:bookmarkEnd w:id="0"/>
            <w:r w:rsidRPr="006D637B">
              <w:rPr>
                <w:rFonts w:hint="eastAsia"/>
                <w:sz w:val="18"/>
                <w:szCs w:val="18"/>
              </w:rPr>
              <w:t>いよう，楽譜の五線や音符のサイズ，歌詞のフォントなどを工夫している。</w:t>
            </w:r>
            <w:r w:rsidRPr="006D637B">
              <w:rPr>
                <w:rFonts w:hint="eastAsia"/>
                <w:sz w:val="18"/>
                <w:szCs w:val="18"/>
              </w:rPr>
              <w:br/>
            </w:r>
            <w:r w:rsidRPr="006D637B">
              <w:rPr>
                <w:rFonts w:hint="eastAsia"/>
                <w:sz w:val="18"/>
                <w:szCs w:val="18"/>
              </w:rPr>
              <w:t>・「</w:t>
            </w:r>
            <w:r w:rsidRPr="006D637B">
              <w:rPr>
                <w:rFonts w:hint="eastAsia"/>
                <w:sz w:val="18"/>
                <w:szCs w:val="18"/>
              </w:rPr>
              <w:t>ONGAKU</w:t>
            </w:r>
            <w:r w:rsidRPr="006D637B">
              <w:rPr>
                <w:rFonts w:hint="eastAsia"/>
                <w:sz w:val="18"/>
                <w:szCs w:val="18"/>
              </w:rPr>
              <w:t>をはじめよう」，「創作」は直接音符等を記入する欄を設け，生徒の自発的な学習を促すつくりになっている。</w:t>
            </w:r>
          </w:p>
        </w:tc>
      </w:tr>
      <w:tr w:rsidR="006D637B" w:rsidRPr="006D637B" w:rsidTr="006D637B">
        <w:trPr>
          <w:trHeight w:val="330"/>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判型の配慮</w:t>
            </w:r>
          </w:p>
        </w:tc>
        <w:tc>
          <w:tcPr>
            <w:tcW w:w="7047" w:type="dxa"/>
            <w:noWrap/>
            <w:hideMark/>
          </w:tcPr>
          <w:p w:rsidR="006D637B" w:rsidRPr="006D637B" w:rsidRDefault="006D637B">
            <w:pPr>
              <w:rPr>
                <w:rFonts w:hint="eastAsia"/>
                <w:sz w:val="18"/>
                <w:szCs w:val="18"/>
              </w:rPr>
            </w:pPr>
            <w:r w:rsidRPr="006D637B">
              <w:rPr>
                <w:rFonts w:hint="eastAsia"/>
                <w:sz w:val="18"/>
                <w:szCs w:val="18"/>
              </w:rPr>
              <w:t>・「見やすい楽譜の大きさ」とのバランスに配慮した判型（</w:t>
            </w:r>
            <w:r w:rsidRPr="006D637B">
              <w:rPr>
                <w:sz w:val="18"/>
                <w:szCs w:val="18"/>
              </w:rPr>
              <w:t>A4</w:t>
            </w:r>
            <w:r w:rsidRPr="006D637B">
              <w:rPr>
                <w:rFonts w:hint="eastAsia"/>
                <w:sz w:val="18"/>
                <w:szCs w:val="18"/>
              </w:rPr>
              <w:t>変型）</w:t>
            </w:r>
          </w:p>
        </w:tc>
      </w:tr>
      <w:tr w:rsidR="006D637B" w:rsidRPr="006D637B" w:rsidTr="006D637B">
        <w:trPr>
          <w:trHeight w:val="510"/>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写真やイラスト，図版</w:t>
            </w:r>
          </w:p>
        </w:tc>
        <w:tc>
          <w:tcPr>
            <w:tcW w:w="7047" w:type="dxa"/>
            <w:hideMark/>
          </w:tcPr>
          <w:p w:rsidR="006D637B" w:rsidRPr="006D637B" w:rsidRDefault="006D637B">
            <w:pPr>
              <w:rPr>
                <w:rFonts w:hint="eastAsia"/>
                <w:sz w:val="18"/>
                <w:szCs w:val="18"/>
              </w:rPr>
            </w:pPr>
            <w:r w:rsidRPr="006D637B">
              <w:rPr>
                <w:rFonts w:hint="eastAsia"/>
                <w:sz w:val="18"/>
                <w:szCs w:val="18"/>
              </w:rPr>
              <w:t>・見やすく，生徒の興味・関心を高めるよう配慮した明るく鮮やかな配色</w:t>
            </w:r>
            <w:r w:rsidRPr="006D637B">
              <w:rPr>
                <w:rFonts w:hint="eastAsia"/>
                <w:sz w:val="18"/>
                <w:szCs w:val="18"/>
              </w:rPr>
              <w:br/>
            </w:r>
            <w:r w:rsidRPr="006D637B">
              <w:rPr>
                <w:rFonts w:hint="eastAsia"/>
                <w:sz w:val="18"/>
                <w:szCs w:val="18"/>
              </w:rPr>
              <w:t>・生徒の興味・関心を高めるよう，豊富な写真，イラストを用意している。</w:t>
            </w:r>
          </w:p>
        </w:tc>
      </w:tr>
      <w:tr w:rsidR="006D637B" w:rsidRPr="006D637B" w:rsidTr="006D637B">
        <w:trPr>
          <w:trHeight w:val="540"/>
        </w:trPr>
        <w:tc>
          <w:tcPr>
            <w:tcW w:w="582" w:type="dxa"/>
            <w:vMerge/>
            <w:textDirection w:val="tbRlV"/>
            <w:hideMark/>
          </w:tcPr>
          <w:p w:rsidR="006D637B" w:rsidRPr="006D637B" w:rsidRDefault="006D637B" w:rsidP="006D637B">
            <w:pPr>
              <w:ind w:left="113" w:right="113"/>
              <w:rPr>
                <w:sz w:val="18"/>
                <w:szCs w:val="18"/>
              </w:rPr>
            </w:pPr>
          </w:p>
        </w:tc>
        <w:tc>
          <w:tcPr>
            <w:tcW w:w="2107" w:type="dxa"/>
            <w:noWrap/>
            <w:hideMark/>
          </w:tcPr>
          <w:p w:rsidR="006D637B" w:rsidRPr="006D637B" w:rsidRDefault="006D637B">
            <w:pPr>
              <w:rPr>
                <w:rFonts w:hint="eastAsia"/>
                <w:sz w:val="18"/>
                <w:szCs w:val="18"/>
              </w:rPr>
            </w:pPr>
            <w:r w:rsidRPr="006D637B">
              <w:rPr>
                <w:rFonts w:hint="eastAsia"/>
                <w:sz w:val="18"/>
                <w:szCs w:val="18"/>
              </w:rPr>
              <w:t>印刷・造本</w:t>
            </w:r>
          </w:p>
        </w:tc>
        <w:tc>
          <w:tcPr>
            <w:tcW w:w="7047" w:type="dxa"/>
            <w:hideMark/>
          </w:tcPr>
          <w:p w:rsidR="006D637B" w:rsidRPr="006D637B" w:rsidRDefault="006D637B" w:rsidP="006D637B">
            <w:pPr>
              <w:rPr>
                <w:rFonts w:hint="eastAsia"/>
                <w:sz w:val="18"/>
                <w:szCs w:val="18"/>
              </w:rPr>
            </w:pPr>
            <w:r w:rsidRPr="006D637B">
              <w:rPr>
                <w:rFonts w:hint="eastAsia"/>
                <w:sz w:val="18"/>
                <w:szCs w:val="18"/>
              </w:rPr>
              <w:t>・目に優しい色の紙を使用している。</w:t>
            </w:r>
            <w:r w:rsidRPr="006D637B">
              <w:rPr>
                <w:rFonts w:hint="eastAsia"/>
                <w:sz w:val="18"/>
                <w:szCs w:val="18"/>
              </w:rPr>
              <w:br/>
            </w:r>
            <w:r w:rsidRPr="006D637B">
              <w:rPr>
                <w:rFonts w:hint="eastAsia"/>
                <w:sz w:val="18"/>
                <w:szCs w:val="18"/>
              </w:rPr>
              <w:t>・開きやすく，かつ堅牢な製本</w:t>
            </w:r>
          </w:p>
        </w:tc>
      </w:tr>
      <w:tr w:rsidR="006D637B" w:rsidRPr="006D637B" w:rsidTr="006D637B">
        <w:trPr>
          <w:cantSplit/>
          <w:trHeight w:val="1350"/>
        </w:trPr>
        <w:tc>
          <w:tcPr>
            <w:tcW w:w="582" w:type="dxa"/>
            <w:noWrap/>
            <w:textDirection w:val="tbRlV"/>
            <w:hideMark/>
          </w:tcPr>
          <w:p w:rsidR="006D637B" w:rsidRPr="006D637B" w:rsidRDefault="006D637B" w:rsidP="006D637B">
            <w:pPr>
              <w:ind w:left="113" w:right="113"/>
              <w:rPr>
                <w:rFonts w:hint="eastAsia"/>
                <w:sz w:val="18"/>
                <w:szCs w:val="18"/>
              </w:rPr>
            </w:pPr>
            <w:r w:rsidRPr="006D637B">
              <w:rPr>
                <w:rFonts w:hint="eastAsia"/>
                <w:sz w:val="18"/>
                <w:szCs w:val="18"/>
              </w:rPr>
              <w:t>総合所見</w:t>
            </w:r>
          </w:p>
        </w:tc>
        <w:tc>
          <w:tcPr>
            <w:tcW w:w="2107" w:type="dxa"/>
            <w:noWrap/>
            <w:hideMark/>
          </w:tcPr>
          <w:p w:rsidR="006D637B" w:rsidRPr="006D637B" w:rsidRDefault="006D637B" w:rsidP="006D637B">
            <w:pPr>
              <w:rPr>
                <w:rFonts w:hint="eastAsia"/>
                <w:sz w:val="18"/>
                <w:szCs w:val="18"/>
              </w:rPr>
            </w:pPr>
            <w:r w:rsidRPr="006D637B">
              <w:rPr>
                <w:rFonts w:hint="eastAsia"/>
                <w:sz w:val="18"/>
                <w:szCs w:val="18"/>
              </w:rPr>
              <w:t>全体的・総合的な当教科書の特徴</w:t>
            </w:r>
          </w:p>
        </w:tc>
        <w:tc>
          <w:tcPr>
            <w:tcW w:w="7047" w:type="dxa"/>
            <w:hideMark/>
          </w:tcPr>
          <w:p w:rsidR="006D637B" w:rsidRPr="006D637B" w:rsidRDefault="006D637B">
            <w:pPr>
              <w:rPr>
                <w:rFonts w:hint="eastAsia"/>
                <w:sz w:val="18"/>
                <w:szCs w:val="18"/>
              </w:rPr>
            </w:pPr>
            <w:r w:rsidRPr="006D637B">
              <w:rPr>
                <w:rFonts w:hint="eastAsia"/>
                <w:sz w:val="18"/>
                <w:szCs w:val="18"/>
              </w:rPr>
              <w:t>・学習指導要領に示す事項を不足なく取り上げながら，時代の変化に即した「生きる力」を育む，個性的で創造的な教科書を意図している。</w:t>
            </w:r>
            <w:r w:rsidRPr="006D637B">
              <w:rPr>
                <w:rFonts w:hint="eastAsia"/>
                <w:sz w:val="18"/>
                <w:szCs w:val="18"/>
              </w:rPr>
              <w:br/>
            </w:r>
            <w:r w:rsidRPr="006D637B">
              <w:rPr>
                <w:rFonts w:hint="eastAsia"/>
                <w:sz w:val="18"/>
                <w:szCs w:val="18"/>
              </w:rPr>
              <w:t>・音楽の基礎・基本を学ぶ出発点となる教材「</w:t>
            </w:r>
            <w:r w:rsidRPr="006D637B">
              <w:rPr>
                <w:rFonts w:hint="eastAsia"/>
                <w:sz w:val="18"/>
                <w:szCs w:val="18"/>
              </w:rPr>
              <w:t>ONGAKU</w:t>
            </w:r>
            <w:r w:rsidRPr="006D637B">
              <w:rPr>
                <w:rFonts w:hint="eastAsia"/>
                <w:sz w:val="18"/>
                <w:szCs w:val="18"/>
              </w:rPr>
              <w:t>をはじめよう」を用意し，そこから表現・鑑賞へと相互に関連性を持たせながら，自主的・創造的・活動的な学習ができるよう工夫している。</w:t>
            </w:r>
          </w:p>
        </w:tc>
      </w:tr>
    </w:tbl>
    <w:p w:rsidR="00737C19" w:rsidRPr="006D637B" w:rsidRDefault="006D637B">
      <w:pPr>
        <w:rPr>
          <w:sz w:val="18"/>
          <w:szCs w:val="18"/>
        </w:rPr>
      </w:pPr>
    </w:p>
    <w:sectPr w:rsidR="00737C19" w:rsidRPr="006D637B" w:rsidSect="006D637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7B"/>
    <w:rsid w:val="004F7CF4"/>
    <w:rsid w:val="005739C1"/>
    <w:rsid w:val="006D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9F8D3C-84A6-4E93-B4EB-081ED46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出版22</dc:creator>
  <cp:keywords/>
  <dc:description/>
  <cp:lastModifiedBy>出版22</cp:lastModifiedBy>
  <cp:revision>1</cp:revision>
  <dcterms:created xsi:type="dcterms:W3CDTF">2016-04-13T06:32:00Z</dcterms:created>
  <dcterms:modified xsi:type="dcterms:W3CDTF">2016-04-13T06:38:00Z</dcterms:modified>
</cp:coreProperties>
</file>